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C4C" w:rsidRDefault="00FE2C4C" w:rsidP="00FE2C4C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noProof/>
          <w:lang w:eastAsia="hu-HU" w:bidi="ar-SA"/>
        </w:rPr>
        <w:drawing>
          <wp:anchor distT="0" distB="0" distL="114300" distR="114300" simplePos="0" relativeHeight="251659264" behindDoc="0" locked="0" layoutInCell="0" allowOverlap="1" wp14:anchorId="2381E185" wp14:editId="48B569A8">
            <wp:simplePos x="0" y="0"/>
            <wp:positionH relativeFrom="page">
              <wp:posOffset>734695</wp:posOffset>
            </wp:positionH>
            <wp:positionV relativeFrom="page">
              <wp:posOffset>226695</wp:posOffset>
            </wp:positionV>
            <wp:extent cx="1649730" cy="617220"/>
            <wp:effectExtent l="0" t="0" r="0" b="0"/>
            <wp:wrapNone/>
            <wp:docPr id="1" name="Image2" descr="Integrált Jogalkotási Rendsz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 descr="Integrált Jogalkotási Rendsze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-413" t="-1102" r="-413" b="-11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730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</w:rPr>
        <w:t>Dunakeszi Város Önkormányzata Képviselő-testületének .../.... (...) önkormányzati rendelete</w:t>
      </w:r>
    </w:p>
    <w:p w:rsidR="00FE2C4C" w:rsidRDefault="00FE2C4C" w:rsidP="00FE2C4C">
      <w:pPr>
        <w:pStyle w:val="Szvegtrzs"/>
        <w:spacing w:before="240" w:after="48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Dunakeszi Város Önkormányzata 2026. évi költségvetéséről szóló 5/2026.(II.26.) sz. önkormányzati rendelet módosításáról</w:t>
      </w:r>
    </w:p>
    <w:p w:rsidR="00FE2C4C" w:rsidRDefault="00FE2C4C" w:rsidP="00FE2C4C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[1] A Magyarország helyi önkormányzatairól szóló 2011. évi CLXXXIX. törvény 111. § (2) bekezdés alapján a helyi önkormányzat gazdálkodásának alapja az éves költségvetése, melyből finanszírozza és látja el törvényben meghatározott kötelező és önként vállalt feladatait.</w:t>
      </w:r>
    </w:p>
    <w:p w:rsidR="00FE2C4C" w:rsidRDefault="00FE2C4C" w:rsidP="00FE2C4C">
      <w:pPr>
        <w:pStyle w:val="Szvegtrzs"/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[2] Dunakeszi Város Önkormányzatának éves költségvetése a települési szolgáltatások működtetését és a településfejlesztési célok megvalósítását egyaránt lehetővé tevő, kiegyensúlyozott gazdálkodás elve szerint került összeállításra.</w:t>
      </w:r>
    </w:p>
    <w:p w:rsidR="00FE2C4C" w:rsidRDefault="00FE2C4C" w:rsidP="00FE2C4C">
      <w:pPr>
        <w:pStyle w:val="Szvegtrzs"/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[3] A költségvetési rendelet módosításának fő célja a központi költségvetési forrásból származó támogatások, a maradvány, a saját bevételek, valamint a Képviselő-testületi döntések költségvetési rendeletbe történő beépítése.</w:t>
      </w:r>
    </w:p>
    <w:p w:rsidR="00FE2C4C" w:rsidRDefault="00FE2C4C" w:rsidP="00FE2C4C">
      <w:pPr>
        <w:pStyle w:val="Szvegtrzs"/>
        <w:spacing w:before="12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[4] Dunakeszi Város Önkormányzata Képviselő-testülete az Alaptörvény 32. cikk (2) bekezdésében meghatározott jogalkotói hatáskörében, az Alaptörvény 32. cikk (1) bekezdés f) pontjában meghatározott feladatkörében eljárva az államháztartásról szóló 2011. évi CXCV. törvény 23. §-ában foglaltak alapján a következőket rendeli el:</w:t>
      </w:r>
    </w:p>
    <w:p w:rsidR="00FE2C4C" w:rsidRDefault="00FE2C4C" w:rsidP="00FE2C4C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 §</w:t>
      </w:r>
    </w:p>
    <w:p w:rsidR="00FE2C4C" w:rsidRDefault="00FE2C4C" w:rsidP="00FE2C4C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Dunakeszi Város Önkormányzata 2026. évi költségvetéséről szóló 5/2026. (II. 26.) önkormányzati rendelet 3. § (1) és (2) bekezdése helyébe a következő rendelkezések lépnek:</w:t>
      </w:r>
    </w:p>
    <w:p w:rsidR="00FE2C4C" w:rsidRDefault="00FE2C4C" w:rsidP="00FE2C4C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„(1) A Képviselő-testület Dunakeszi Város </w:t>
      </w:r>
      <w:r>
        <w:rPr>
          <w:rFonts w:ascii="Times New Roman" w:hAnsi="Times New Roman"/>
          <w:b/>
          <w:bCs/>
        </w:rPr>
        <w:t>2026. évi bevételének fő összegét</w:t>
      </w:r>
      <w:r>
        <w:rPr>
          <w:rFonts w:ascii="Times New Roman" w:hAnsi="Times New Roman"/>
        </w:rPr>
        <w:t xml:space="preserve"> 22.206.817.206</w:t>
      </w:r>
      <w:r>
        <w:rPr>
          <w:rFonts w:ascii="Times New Roman" w:hAnsi="Times New Roman"/>
          <w:b/>
          <w:bCs/>
        </w:rPr>
        <w:t>,-Ft-ban</w:t>
      </w:r>
    </w:p>
    <w:p w:rsidR="00FE2C4C" w:rsidRDefault="00FE2C4C" w:rsidP="00FE2C4C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a)</w:t>
      </w:r>
      <w:r>
        <w:rPr>
          <w:rFonts w:ascii="Times New Roman" w:hAnsi="Times New Roman"/>
        </w:rPr>
        <w:tab/>
        <w:t>Működési költségvetési bevételét 13.381.563.140- Ft-ban</w:t>
      </w:r>
    </w:p>
    <w:p w:rsidR="00FE2C4C" w:rsidRDefault="00FE2C4C" w:rsidP="00FE2C4C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  <w:t>Felhalmozási költségvetési bevételét 265.747.473,- Ft-ban</w:t>
      </w:r>
    </w:p>
    <w:p w:rsidR="00FE2C4C" w:rsidRDefault="00FE2C4C" w:rsidP="00FE2C4C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c)</w:t>
      </w:r>
      <w:r>
        <w:rPr>
          <w:rFonts w:ascii="Times New Roman" w:hAnsi="Times New Roman"/>
        </w:rPr>
        <w:tab/>
        <w:t>Finanszírozási bevételét 8.559.506.593,- Ft-ban állapítja meg.</w:t>
      </w:r>
    </w:p>
    <w:p w:rsidR="00FE2C4C" w:rsidRDefault="00FE2C4C" w:rsidP="00FE2C4C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(2) A Képviselő-testület Dunakeszi Város </w:t>
      </w:r>
      <w:r>
        <w:rPr>
          <w:rFonts w:ascii="Times New Roman" w:hAnsi="Times New Roman"/>
          <w:b/>
          <w:bCs/>
        </w:rPr>
        <w:t>202</w:t>
      </w:r>
      <w:r>
        <w:rPr>
          <w:rFonts w:ascii="Times New Roman" w:hAnsi="Times New Roman"/>
        </w:rPr>
        <w:t>6</w:t>
      </w:r>
      <w:r>
        <w:rPr>
          <w:rFonts w:ascii="Times New Roman" w:hAnsi="Times New Roman"/>
          <w:b/>
          <w:bCs/>
        </w:rPr>
        <w:t>. évi kiadásának fő összegét</w:t>
      </w:r>
      <w:r>
        <w:rPr>
          <w:rFonts w:ascii="Times New Roman" w:hAnsi="Times New Roman"/>
        </w:rPr>
        <w:t xml:space="preserve"> 22.206.817.206</w:t>
      </w:r>
      <w:r>
        <w:rPr>
          <w:rFonts w:ascii="Times New Roman" w:hAnsi="Times New Roman"/>
          <w:b/>
          <w:bCs/>
        </w:rPr>
        <w:t>,-Ft-ban</w:t>
      </w:r>
    </w:p>
    <w:p w:rsidR="00FE2C4C" w:rsidRDefault="00FE2C4C" w:rsidP="00FE2C4C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a)</w:t>
      </w:r>
      <w:r>
        <w:rPr>
          <w:rFonts w:ascii="Times New Roman" w:hAnsi="Times New Roman"/>
        </w:rPr>
        <w:tab/>
        <w:t>Működési költségvetési kiadását 15.313.719.369,- Ft-ban</w:t>
      </w:r>
    </w:p>
    <w:p w:rsidR="00FE2C4C" w:rsidRDefault="00FE2C4C" w:rsidP="00FE2C4C">
      <w:pPr>
        <w:pStyle w:val="Szvegtrzs"/>
        <w:spacing w:after="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b)</w:t>
      </w:r>
      <w:r>
        <w:rPr>
          <w:rFonts w:ascii="Times New Roman" w:hAnsi="Times New Roman"/>
        </w:rPr>
        <w:tab/>
        <w:t>Felhalmozási költségvetési kiadását 5.945.160.034,- Ft-ban</w:t>
      </w:r>
    </w:p>
    <w:p w:rsidR="00FE2C4C" w:rsidRDefault="00FE2C4C" w:rsidP="00FE2C4C">
      <w:pPr>
        <w:pStyle w:val="Szvegtrzs"/>
        <w:spacing w:after="240" w:line="240" w:lineRule="auto"/>
        <w:ind w:left="580" w:hanging="560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c)</w:t>
      </w:r>
      <w:r>
        <w:rPr>
          <w:rFonts w:ascii="Times New Roman" w:hAnsi="Times New Roman"/>
        </w:rPr>
        <w:tab/>
        <w:t>Finanszírozási kiadását 947.937.803- Ft-ban állapítja meg.”</w:t>
      </w:r>
    </w:p>
    <w:p w:rsidR="00FE2C4C" w:rsidRDefault="00FE2C4C" w:rsidP="00FE2C4C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 §</w:t>
      </w:r>
    </w:p>
    <w:p w:rsidR="00FE2C4C" w:rsidRDefault="00FE2C4C" w:rsidP="00FE2C4C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Dunakeszi Város Önkormányzata 2026. évi költségvetéséről szóló 5/2026. (II. 26.) önkormányzati rendelet 4. § (8) bekezdése helyébe a következő rendelkezés lép:</w:t>
      </w:r>
    </w:p>
    <w:p w:rsidR="00FE2C4C" w:rsidRDefault="00FE2C4C" w:rsidP="00FE2C4C">
      <w:pPr>
        <w:pStyle w:val="Szvegtrzs"/>
        <w:spacing w:before="240" w:after="24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„(8) A Képviselő-testület 551.774.829,-Ft működési céltartalékot, 232.455.000,-Ft összegben általános tartalékot, 993.762.344,-Ft összegben felhalmozási céltartalékot állapít meg. A tartalékok részletezését a 9. sz. melléklet mutatja be.”</w:t>
      </w:r>
    </w:p>
    <w:p w:rsidR="00FE2C4C" w:rsidRDefault="00FE2C4C" w:rsidP="00FE2C4C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 §</w:t>
      </w:r>
    </w:p>
    <w:p w:rsidR="00FE2C4C" w:rsidRDefault="00FE2C4C" w:rsidP="00FE2C4C">
      <w:pPr>
        <w:pStyle w:val="Szvegtrzs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(1) A Dunakeszi Város Önkormányzata 2026. évi költségvetéséről szóló 5/2026. (II. 26.) önkormányzati rendelet 1. melléklete helyébe az 1. melléklet lép.</w:t>
      </w:r>
    </w:p>
    <w:p w:rsidR="00FE2C4C" w:rsidRDefault="00FE2C4C" w:rsidP="00FE2C4C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(2) A Dunakeszi Város Önkormányzata 2026. évi költségvetéséről szóló 5/2026. (II. 26.) önkormányzati rendelet 2. melléklete helyébe a 2. melléklet lép.</w:t>
      </w:r>
    </w:p>
    <w:p w:rsidR="00FE2C4C" w:rsidRDefault="00FE2C4C" w:rsidP="00FE2C4C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(3) A Dunakeszi Város Önkormányzata 2026. évi költségvetéséről szóló 5/2026. (II. 26.) önkormányzati rendelet 3. melléklete helyébe a 3. melléklet lép.</w:t>
      </w:r>
    </w:p>
    <w:p w:rsidR="00FE2C4C" w:rsidRDefault="00FE2C4C" w:rsidP="00FE2C4C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(4) A Dunakeszi Város Önkormányzata 2026. évi költségvetéséről szóló 5/2026. (II. 26.) önkormányzati rendelet 4. melléklete helyébe a 4. melléklet lép.</w:t>
      </w:r>
    </w:p>
    <w:p w:rsidR="00FE2C4C" w:rsidRDefault="00FE2C4C" w:rsidP="00FE2C4C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(5) A Dunakeszi Város Önkormányzata 2026. évi költségvetéséről szóló 5/2026. (II. 26.) önkormányzati rendelet 5. melléklete helyébe az 5. melléklet lép.</w:t>
      </w:r>
    </w:p>
    <w:p w:rsidR="00FE2C4C" w:rsidRDefault="00FE2C4C" w:rsidP="00FE2C4C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(6) A Dunakeszi Város Önkormányzata 2026. évi költségvetéséről szóló 5/2026. (II. 26.) önkormányzati rendelet 6. melléklete helyébe a 6. melléklet lép.</w:t>
      </w:r>
    </w:p>
    <w:p w:rsidR="00FE2C4C" w:rsidRDefault="00FE2C4C" w:rsidP="00FE2C4C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(7) A Dunakeszi Város Önkormányzata 2026. évi költségvetéséről szóló 5/2026. (II. 26.) önkormányzati rendelet 7. melléklete helyébe a 7. melléklet lép.</w:t>
      </w:r>
    </w:p>
    <w:p w:rsidR="00FE2C4C" w:rsidRDefault="00FE2C4C" w:rsidP="00FE2C4C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(8) A Dunakeszi Város Önkormányzata 2026. évi költségvetéséről szóló 5/2026. (II. 26.) önkormányzati rendelet 8. melléklete helyébe a 8. melléklet lép.</w:t>
      </w:r>
    </w:p>
    <w:p w:rsidR="00FE2C4C" w:rsidRDefault="00FE2C4C" w:rsidP="00FE2C4C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(9) A Dunakeszi Város Önkormányzata 2026. évi költségvetéséről szóló 5/2026. (II. 26.) önkormányzati rendelet 9. melléklete helyébe a 9. melléklet lép.</w:t>
      </w:r>
    </w:p>
    <w:p w:rsidR="00FE2C4C" w:rsidRDefault="00FE2C4C" w:rsidP="00FE2C4C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(10) A Dunakeszi Város Önkormányzata 2026. évi költségvetéséről szóló 5/2026. (II. 26.) önkormányzati rendelet 10. melléklete helyébe a 10. melléklet lép.</w:t>
      </w:r>
    </w:p>
    <w:p w:rsidR="00FE2C4C" w:rsidRDefault="00FE2C4C" w:rsidP="00FE2C4C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(11) A Dunakeszi Város Önkormányzata 2026. évi költségvetéséről szóló 5/2026. (II. 26.) önkormányzati rendelet 11. melléklete helyébe a 11. melléklet lép.</w:t>
      </w:r>
    </w:p>
    <w:p w:rsidR="00FE2C4C" w:rsidRDefault="00FE2C4C" w:rsidP="00FE2C4C">
      <w:pPr>
        <w:pStyle w:val="Szvegtrzs"/>
        <w:spacing w:before="24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(12) A Dunakeszi Város Önkormányzata 2026. évi költségvetéséről szóló 5/2026. (II. 26.) önkormányzati rendelet 12. melléklete helyébe a 12. melléklet lép.</w:t>
      </w:r>
    </w:p>
    <w:p w:rsidR="00FE2C4C" w:rsidRDefault="00FE2C4C" w:rsidP="00FE2C4C">
      <w:pPr>
        <w:pStyle w:val="Szvegtrzs"/>
        <w:spacing w:before="240" w:after="24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4. §</w:t>
      </w:r>
    </w:p>
    <w:p w:rsidR="00FE2C4C" w:rsidRDefault="00FE2C4C" w:rsidP="00FE2C4C">
      <w:pPr>
        <w:pStyle w:val="Szvegtrzs"/>
        <w:spacing w:after="0" w:line="240" w:lineRule="auto"/>
        <w:jc w:val="both"/>
        <w:rPr>
          <w:rFonts w:ascii="Times New Roman" w:hAnsi="Times New Roman"/>
        </w:rPr>
        <w:sectPr w:rsidR="00FE2C4C">
          <w:headerReference w:type="even" r:id="rId5"/>
          <w:headerReference w:type="default" r:id="rId6"/>
          <w:footerReference w:type="even" r:id="rId7"/>
          <w:footerReference w:type="default" r:id="rId8"/>
          <w:headerReference w:type="first" r:id="rId9"/>
          <w:footerReference w:type="first" r:id="rId10"/>
          <w:pgSz w:w="11906" w:h="16668"/>
          <w:pgMar w:top="1473" w:right="1077" w:bottom="1474" w:left="1077" w:header="340" w:footer="794" w:gutter="0"/>
          <w:cols w:space="708"/>
          <w:formProt w:val="0"/>
          <w:titlePg/>
          <w:docGrid w:linePitch="600" w:charSpace="32768"/>
        </w:sectPr>
      </w:pPr>
      <w:r>
        <w:rPr>
          <w:rFonts w:ascii="Times New Roman" w:hAnsi="Times New Roman"/>
        </w:rPr>
        <w:t>Ez a rendelet a kihirdetését követő napon lép hatályba, és a kihirdetését követő második napon hatályát veszti.</w:t>
      </w:r>
    </w:p>
    <w:p w:rsidR="00FE2C4C" w:rsidRDefault="00FE2C4C" w:rsidP="00FE2C4C">
      <w:pPr>
        <w:pStyle w:val="Szvegtrzs"/>
        <w:spacing w:after="0"/>
        <w:jc w:val="center"/>
        <w:rPr>
          <w:rFonts w:ascii="Times New Roman" w:hAnsi="Times New Roman"/>
        </w:rPr>
      </w:pPr>
    </w:p>
    <w:p w:rsidR="00FE2C4C" w:rsidRDefault="00FE2C4C" w:rsidP="00FE2C4C">
      <w:pPr>
        <w:pStyle w:val="Szvegtrzs"/>
        <w:spacing w:before="450" w:after="150" w:line="240" w:lineRule="auto"/>
        <w:ind w:left="150" w:right="15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Részletes indokolás</w:t>
      </w:r>
    </w:p>
    <w:p w:rsidR="00FE2C4C" w:rsidRDefault="00FE2C4C" w:rsidP="00FE2C4C">
      <w:pPr>
        <w:spacing w:before="150" w:after="75"/>
        <w:ind w:left="150" w:right="15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Az 1–4. §-hoz és az 1–12. melléklethez 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Képviselő-testület 5/2026. (II.26.) számú önkormányzati rendelet 1. számú módosításának indokolása: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rendeletmódosítást elsősorban a központi költségvetésből származó források, a maradvány, valamint a saját bevételek költségvetési rendeletbe történő beépítése indokolja. Rendeletmódosítást követően az önkormányzati szintű költségvetés főösszege 19.618.628.705,-Ft-ról, 22.206.817.206,-Ft-ra módosul.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Bár Dunakeszi nem számít erős bevételű városnak a régióban, igyekszünk jól gazdálkodni a forrásainkkal.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BEVÉTELEK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bevételek összességében 2.588.188.501,-Ft-tal növelhetők.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bevételi előirányzatok módosítási javaslatait a 2. számú melléklet, gazdálkodónként a 3. számú melléklet mutatja be.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Működési bevételek</w:t>
      </w:r>
    </w:p>
    <w:p w:rsidR="00FE2C4C" w:rsidRDefault="00FE2C4C" w:rsidP="00FE2C4C">
      <w:pPr>
        <w:pStyle w:val="Szvegtrzs"/>
        <w:spacing w:after="24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</w:t>
      </w:r>
      <w:r>
        <w:rPr>
          <w:rFonts w:ascii="Times New Roman" w:hAnsi="Times New Roman"/>
          <w:b/>
          <w:bCs/>
        </w:rPr>
        <w:t>központi költségvetésből érkező támogatások</w:t>
      </w:r>
      <w:r>
        <w:rPr>
          <w:rFonts w:ascii="Times New Roman" w:hAnsi="Times New Roman"/>
        </w:rPr>
        <w:t xml:space="preserve"> előirányzata 274.055.962,-Ft-tal nő. A helyi </w:t>
      </w:r>
      <w:r>
        <w:rPr>
          <w:rFonts w:ascii="Times New Roman" w:hAnsi="Times New Roman"/>
          <w:i/>
          <w:iCs/>
        </w:rPr>
        <w:t>önkormányzatok működésének általános támogatása</w:t>
      </w:r>
      <w:r>
        <w:rPr>
          <w:rFonts w:ascii="Times New Roman" w:hAnsi="Times New Roman"/>
        </w:rPr>
        <w:t xml:space="preserve"> 198.882.000,-Ft-tal növelhető az önkormányzati hivatal működésének támogatásából. A </w:t>
      </w:r>
      <w:r>
        <w:rPr>
          <w:rFonts w:ascii="Times New Roman" w:hAnsi="Times New Roman"/>
          <w:i/>
          <w:iCs/>
        </w:rPr>
        <w:t>köznevelési feladatok</w:t>
      </w:r>
      <w:r>
        <w:rPr>
          <w:rFonts w:ascii="Times New Roman" w:hAnsi="Times New Roman"/>
        </w:rPr>
        <w:t xml:space="preserve"> támogatása 15.515.220,-Ft-tal nő a 2025. évi tanárbér kiegészítésére juttatott összegből. Az intézkedésre azért van szükség, mert a 2025-ös pedagógus-átlagbér nem érte el a diplomás átlagbér 80 százalékát.  A </w:t>
      </w:r>
      <w:r>
        <w:rPr>
          <w:rFonts w:ascii="Times New Roman" w:hAnsi="Times New Roman"/>
          <w:i/>
          <w:iCs/>
        </w:rPr>
        <w:t>szociális és gyermekjóléti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  <w:iCs/>
        </w:rPr>
        <w:t>feladatokra</w:t>
      </w:r>
      <w:r>
        <w:rPr>
          <w:rFonts w:ascii="Times New Roman" w:hAnsi="Times New Roman"/>
        </w:rPr>
        <w:t xml:space="preserve"> 25.884.772,-Ft támogatás érkezett.  A támogatás tartalmazza a bölcsődében foglalkoztatott pedagógusok 2025. évi bérkiegészítését 1.549.800,-Ft-ot, a szociális ágazati pótlék (18.635.787,-Ft), valamint a kiegészítő szociális ágazati pótlék támogatását (5.699.185,-Ft). A pótlékok 2026. január hónaptól május hónapig kifizetett tételekre nyújtanak fedezetet. A </w:t>
      </w:r>
      <w:r>
        <w:rPr>
          <w:rFonts w:ascii="Times New Roman" w:hAnsi="Times New Roman"/>
          <w:i/>
          <w:iCs/>
        </w:rPr>
        <w:t>kulturális feladatokra</w:t>
      </w:r>
      <w:r>
        <w:rPr>
          <w:rFonts w:ascii="Times New Roman" w:hAnsi="Times New Roman"/>
        </w:rPr>
        <w:t xml:space="preserve"> nyújtott támogatások 33.773.970,-Ft-tal nőnek, a kulturális területen dolgozók bérfejlesztésére érkezett összegből.</w:t>
      </w:r>
    </w:p>
    <w:p w:rsidR="00FE2C4C" w:rsidRDefault="00FE2C4C" w:rsidP="00FE2C4C">
      <w:pPr>
        <w:pStyle w:val="Szvegtrzs"/>
        <w:spacing w:after="24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központi költségvetésből nyújtott támogatásokat a 4. sz. melléklet részletezi.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Az </w:t>
      </w:r>
      <w:r>
        <w:rPr>
          <w:rFonts w:ascii="Times New Roman" w:hAnsi="Times New Roman"/>
          <w:b/>
          <w:bCs/>
        </w:rPr>
        <w:t>elvonásokból és befizetésekből származó bevételek</w:t>
      </w:r>
      <w:r>
        <w:rPr>
          <w:rFonts w:ascii="Times New Roman" w:hAnsi="Times New Roman"/>
        </w:rPr>
        <w:t xml:space="preserve"> 287.317.058,-Ft-tal nőnek. A növekedés két részből áll.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Maradvány elvonás:  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2025. évi költségvetés végrehajtásáról szóló 7/2026. (V.15.) számú önkormányzati rendelet 3.§ (7) bekezdése alapján az intézmények előző évi szabad maradványa elvonásra került. Az intézmények a szabad maradványaik összegét befizették, ebből 85.176.896,-Ft növekedés jelenik meg.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HIPA többlettel történő elszámolás: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Magyarország 2025. évi központi költségvetésének megalapozásáról szóló 2024. évi LXXIV. törvény 247. §. (1) bekezdésének előírásai alapján a települési önkormányzatok helyi iparűzési adóbevétel többletét be kell fizetni a Területfejlesztési Alap részére. A 13/2025. (V.14.) NGM rendelet tartalmazta a befizetési kötelezettség nagyságrendjét. Önkormányzatunk esetében a befizetési kötelezettséget a 2024. évi LXXIV.tv. 5. melléklet 2. pontja alapján állapították meg, melynek összege 289.346.303,-Ft volt.  2025. év végén állapították meg a tényleges elvonás mértékét. A 2025. évben befolyt iparűzési </w:t>
      </w:r>
      <w:r>
        <w:rPr>
          <w:rFonts w:ascii="Times New Roman" w:hAnsi="Times New Roman"/>
        </w:rPr>
        <w:lastRenderedPageBreak/>
        <w:t>adó bevételt (4.940.502.408,-Ft)  összehasonlították a 2024. évi teljesítési adatokkal (4.825.991.236,-Ft), majd az önkormányzatunk által 2025. évben befizetett szolidaritási hozzájárulási adó összegét (1.278.558.119,-Ft) összehasonlították a 2024. évben fizetett szolidaritási hozzájárulási adó összegével (1.251.253.088,-Ft), ez alapján megállapították, hogy 2025. évben 114.511.172,-Ft-tal több iparűzési adó folyt be, mint 2024. évben, viszont 27.305.031,-Ft-tal több szolidaritási hozzájárulási adót fizettünk be. A HIPA többletből levonásra került a szolidaritási adó többletbefizetése (114.511.172,-Ft - 27.305.031,-Ft), a különbözet mutatja meg, hogy mennyi lett volna 2025. évben a tényleges elvonás mértéke (87.206.141,-Ft). Az elszámolás eredményeként a korábban befizetett összeg és a tényleges elvonás mértéke közötti különbözetet 202.140.162,-Ft-ot Önkormányzatunknak visszautalták.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Államháztartáson belülről</w:t>
      </w:r>
      <w:r>
        <w:rPr>
          <w:rFonts w:ascii="Times New Roman" w:hAnsi="Times New Roman"/>
        </w:rPr>
        <w:t xml:space="preserve"> 162.743.423,-Ft támogatás érkezett, ebből 134.848.835,-Ft az Önkormányzat, 25.494.588,-Ft a Polgármesteri Hivatal, 2.400.000,-Ft a DÓHSZK költségvetésében jelenik meg.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Önkormányzathoz otthonteremtési támogatásból 133.509.791,-Ft érkezett, mely tartalmazza a költségvetési intézményekben dolgozók részére juttatott támogatások fedezetét is. Közfoglalkoztatásra 437.034,-Ft-ot utalt a Gazdaság-újraindítási Foglalkoztatási Alap. A mezei őrszolgálat működésére 540.000,-Ft-ot kaptunk. Budapest Főváros XV. Kerület Önkormányzatától 362.010,-Ft érkezett köztemetés költségének megtérítésére.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Polgármesteri Hivatal bevétele 25.494.588,-Ft, melyet a Nemzeti Választási Iroda utalt át a 2026.04.12. napjára kitűzött országgyűlési képviselők választásával kapcsolatos feladatok lebonyolítására.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DÓHSZK a Dunakeszi Kistérség Társulásától 2.400.000,-Ft támogatásban részesült a nyári tábor költségeire.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</w:t>
      </w:r>
      <w:r>
        <w:rPr>
          <w:rFonts w:ascii="Times New Roman" w:hAnsi="Times New Roman"/>
          <w:b/>
          <w:bCs/>
        </w:rPr>
        <w:t>közvetített szolgálatások</w:t>
      </w:r>
      <w:r>
        <w:rPr>
          <w:rFonts w:ascii="Times New Roman" w:hAnsi="Times New Roman"/>
        </w:rPr>
        <w:t xml:space="preserve"> előirányzata 5.000.000,-Ft-tal növelhető a Dunakeszi Diáknegyed szennyvízdíjának továbbszámlázásából.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</w:t>
      </w:r>
      <w:r>
        <w:rPr>
          <w:rFonts w:ascii="Times New Roman" w:hAnsi="Times New Roman"/>
          <w:b/>
          <w:bCs/>
        </w:rPr>
        <w:t>kiszámlázott általános forgalmi adó</w:t>
      </w:r>
      <w:r>
        <w:rPr>
          <w:rFonts w:ascii="Times New Roman" w:hAnsi="Times New Roman"/>
        </w:rPr>
        <w:t xml:space="preserve"> előirányzata 1.350.000,- Ft-tal nő a közvetített szolgáltatáshoz kapcsolódóan.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Felhalmozási bevételek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Önkormányzatunk  230.668.750,-Ft </w:t>
      </w:r>
      <w:r>
        <w:rPr>
          <w:rFonts w:ascii="Times New Roman" w:hAnsi="Times New Roman"/>
          <w:b/>
          <w:bCs/>
        </w:rPr>
        <w:t>felhalmozási célú támogatásban</w:t>
      </w:r>
      <w:r>
        <w:rPr>
          <w:rFonts w:ascii="Times New Roman" w:hAnsi="Times New Roman"/>
        </w:rPr>
        <w:t xml:space="preserve"> részesült. A Versenyképes Járások Program keretében 162.117.424,-Ft támogatást kaptunk a Hunyadi út folytatására. A Közigazgatási és Területfejlesztési Minisztérium 65.221.206,-Ft támogatást utalt a területfejlesztési alcím terhére, a támogatást a Magyarság Sportpálya parkoló megépítésére használhatjuk fel. Szintén a Közigazgatási és Területfejlesztési Minisztérium nyújtott 3.329.940,-Ft támogatást az Országos Asztali-terem fejlesztési program keretében a - Dunakeszi asztali-terem felújítás Vasút u. 11. projektre.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MOL-Új Európa Alapítvány Zöld Oázis 2026 pályázatán 2.000.000,-Ft-ot nyertünk el a Szent István park zöldfelület fejlesztésére. A kapott összeg a költségvetésben az </w:t>
      </w:r>
      <w:r>
        <w:rPr>
          <w:rFonts w:ascii="Times New Roman" w:hAnsi="Times New Roman"/>
          <w:b/>
          <w:bCs/>
        </w:rPr>
        <w:t>egyéb felhalmozási célú átvett</w:t>
      </w:r>
      <w:r>
        <w:rPr>
          <w:rFonts w:ascii="Times New Roman" w:hAnsi="Times New Roman"/>
        </w:rPr>
        <w:t xml:space="preserve"> pénzeszközök között jelenik meg.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Finanszírozási bevételek</w:t>
      </w:r>
    </w:p>
    <w:p w:rsidR="00FE2C4C" w:rsidRDefault="00FE2C4C" w:rsidP="00FE2C4C">
      <w:pPr>
        <w:pStyle w:val="Szvegtrzs"/>
        <w:spacing w:after="24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finanszírozási bevételek előirányzata 1.625.053.488,- Ft összeggel nő.</w:t>
      </w:r>
    </w:p>
    <w:p w:rsidR="00FE2C4C" w:rsidRDefault="00FE2C4C" w:rsidP="00FE2C4C">
      <w:pPr>
        <w:pStyle w:val="Szvegtrzs"/>
        <w:spacing w:after="24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Önkormányzat költségvetésében 1.529.123.799,-Ft növekedés jelenik meg. A 2025. évi maradvány összege 8.028.882.499,-Ft volt, ebből az eredeti költségvetésben 6.500.000.000,-Ft-ot már beterveztünk, jelenleg a különbözettel 1.528.882.499,-Ft-tal növelhetjük az előirányzatot. A közfoglalkoztatottak béréhez kapcsolódó államháztartáson belüli megelőlegezés összege 241.300,- Ft volt.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A Polgármesteri Hivatal előirányzata az előző év költségvetési maradvány igénybevételével 9.420.631,-Ft-tal nőtt.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intézmények előirányzat változását is az előző évi maradvány igénybevétele indokolja az alábbiak szerint: DÓHSZK 83.263.429,- Ft, Városi Sportigazgatóság 2.179.383,- Ft, Révész István Helytörténeti Gyűjtemény 1.066.246,- Ft.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KIADÁSOK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Működési kiadások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</w:t>
      </w:r>
      <w:r>
        <w:rPr>
          <w:rFonts w:ascii="Times New Roman" w:hAnsi="Times New Roman"/>
          <w:b/>
          <w:bCs/>
        </w:rPr>
        <w:t>személyi juttatások</w:t>
      </w:r>
      <w:r>
        <w:rPr>
          <w:rFonts w:ascii="Times New Roman" w:hAnsi="Times New Roman"/>
        </w:rPr>
        <w:t xml:space="preserve"> 146.211.104,-Ft-tal nőnek. A változás fő oka az áthúzódó kifizetések, illetve az otthonteremtési támogatás fedezetének biztosítása. A Polgármesteri Hivatal személyi juttatásainak változását a fentieken kívül a választási feladatok lebonyolítására kapott összeg is indokolja.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</w:t>
      </w:r>
      <w:r>
        <w:rPr>
          <w:rFonts w:ascii="Times New Roman" w:hAnsi="Times New Roman"/>
          <w:b/>
          <w:bCs/>
        </w:rPr>
        <w:t>munkaadókat terhelő járulékok és adók</w:t>
      </w:r>
      <w:r>
        <w:rPr>
          <w:rFonts w:ascii="Times New Roman" w:hAnsi="Times New Roman"/>
        </w:rPr>
        <w:t xml:space="preserve"> előirányzatának 35.739.726,-Ft-os növekedését a személyi juttatások előirányzatának növekedése indokolja.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</w:t>
      </w:r>
      <w:r>
        <w:rPr>
          <w:rFonts w:ascii="Times New Roman" w:hAnsi="Times New Roman"/>
          <w:b/>
          <w:bCs/>
        </w:rPr>
        <w:t>dologi kiadások</w:t>
      </w:r>
      <w:r>
        <w:rPr>
          <w:rFonts w:ascii="Times New Roman" w:hAnsi="Times New Roman"/>
        </w:rPr>
        <w:t xml:space="preserve"> 322.223.799,-Ft-tal nőnek. Az Önkormányzatnál 279.511.638,-Ft a növekedés.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Igazgatás feladaton</w:t>
      </w:r>
      <w:r>
        <w:rPr>
          <w:rFonts w:ascii="Times New Roman" w:hAnsi="Times New Roman"/>
        </w:rPr>
        <w:t xml:space="preserve"> 49.000,-Ft növekedés jelenik meg általános forgalmi adó befizetésére  közvetített szolgáltatáshoz kapcsolódóan.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Az </w:t>
      </w:r>
      <w:r>
        <w:rPr>
          <w:rFonts w:ascii="Times New Roman" w:hAnsi="Times New Roman"/>
          <w:i/>
          <w:iCs/>
        </w:rPr>
        <w:t xml:space="preserve">önkormányzati vagyonnal való gazdálkodással kapcsolatos feladatok </w:t>
      </w:r>
      <w:r>
        <w:rPr>
          <w:rFonts w:ascii="Times New Roman" w:hAnsi="Times New Roman"/>
        </w:rPr>
        <w:t xml:space="preserve">előirányzata 1.175.770,-Ft-tal nő. ÁFA befizetésre 222.000,-Ft növekedés jelenik meg maradványból. A védőnői feladatellátás költségeire 953.770,-Ft-ot csoportosítunk át a </w:t>
      </w:r>
      <w:r>
        <w:rPr>
          <w:rFonts w:ascii="Times New Roman" w:hAnsi="Times New Roman"/>
          <w:i/>
          <w:iCs/>
        </w:rPr>
        <w:t>család és nővédelmi egészségügyi gondozás feladatról</w:t>
      </w:r>
      <w:r>
        <w:rPr>
          <w:rFonts w:ascii="Times New Roman" w:hAnsi="Times New Roman"/>
        </w:rPr>
        <w:t>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</w:t>
      </w:r>
      <w:r>
        <w:rPr>
          <w:rFonts w:ascii="Times New Roman" w:hAnsi="Times New Roman"/>
          <w:i/>
          <w:iCs/>
        </w:rPr>
        <w:t xml:space="preserve">kiemelt állami és önkormányzati rendezvények </w:t>
      </w:r>
      <w:r>
        <w:rPr>
          <w:rFonts w:ascii="Times New Roman" w:hAnsi="Times New Roman"/>
        </w:rPr>
        <w:t>soron az eredeti költségvetésben a személyi juttatásoknál terveztük a Dunakeszi Városért Plakett 1.614.000,-Ft-os pénzjutalmát. A kitüntetést a VOKE József Attila Művelődési Központ kapta, ezért az előirányzatot átcsoportosítottuk a dologi kiadások előirányzatára.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 xml:space="preserve">Út, autópálya építése </w:t>
      </w:r>
      <w:r>
        <w:rPr>
          <w:rFonts w:ascii="Times New Roman" w:hAnsi="Times New Roman"/>
        </w:rPr>
        <w:t>soron 148.082,-Ft-tal nő az előirányzat járdaépítéshez kapcsolódó dologi kiadásokra. Fedezetet maradványból biztosítunk.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 xml:space="preserve">Közutak, hidak, alagutak üzemeltetése, fenntartása </w:t>
      </w:r>
      <w:r>
        <w:rPr>
          <w:rFonts w:ascii="Times New Roman" w:hAnsi="Times New Roman"/>
        </w:rPr>
        <w:t> feladat  kiadása 253.272.106,-Ft-tal nő maradványból áthúzódó szerződések fedezetére.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 xml:space="preserve">Parkoló, garázs üzemeltetése, fenntartása </w:t>
      </w:r>
      <w:r>
        <w:rPr>
          <w:rFonts w:ascii="Times New Roman" w:hAnsi="Times New Roman"/>
        </w:rPr>
        <w:t>soron 9.113.200,-Ft-tal nő az előirányzat maradványból, áfa befizetésre, illetve az Iskola utcai parkoló felújításhoz kapcsolódó működési kiadások fedezetére.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 xml:space="preserve">Fogorvosi alapellátás feladaton </w:t>
      </w:r>
      <w:r>
        <w:rPr>
          <w:rFonts w:ascii="Times New Roman" w:hAnsi="Times New Roman"/>
        </w:rPr>
        <w:t>20.250,-Ft-tal nő</w:t>
      </w:r>
      <w:r>
        <w:rPr>
          <w:rFonts w:ascii="Times New Roman" w:hAnsi="Times New Roman"/>
          <w:i/>
          <w:iCs/>
        </w:rPr>
        <w:t xml:space="preserve"> </w:t>
      </w:r>
      <w:r>
        <w:rPr>
          <w:rFonts w:ascii="Times New Roman" w:hAnsi="Times New Roman"/>
        </w:rPr>
        <w:t>az előirányzat áthúzódó kifizetés fedezetére maradványból.  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</w:t>
      </w:r>
      <w:r>
        <w:rPr>
          <w:rFonts w:ascii="Times New Roman" w:hAnsi="Times New Roman"/>
          <w:i/>
          <w:iCs/>
        </w:rPr>
        <w:t>komplex egészségfejlesztő prevenciós programok</w:t>
      </w:r>
      <w:r>
        <w:rPr>
          <w:rFonts w:ascii="Times New Roman" w:hAnsi="Times New Roman"/>
        </w:rPr>
        <w:t xml:space="preserve"> feladat dologi kiadásai 5.100.000,-Ft-tal nőnek a Senior szűrőnap kiadásainak fedezetére tartalékból.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 xml:space="preserve">A család és gyermekjóléti központ </w:t>
      </w:r>
      <w:r>
        <w:rPr>
          <w:rFonts w:ascii="Times New Roman" w:hAnsi="Times New Roman"/>
        </w:rPr>
        <w:t>soron 250.000,-Ft növekedés jelenik meg áthúzódó kifizetésre.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Az </w:t>
      </w:r>
      <w:r>
        <w:rPr>
          <w:rFonts w:ascii="Times New Roman" w:hAnsi="Times New Roman"/>
          <w:i/>
          <w:iCs/>
        </w:rPr>
        <w:t xml:space="preserve">egyéb szociális pénzbeli és természetbeni ellátások, támogatások </w:t>
      </w:r>
      <w:r>
        <w:rPr>
          <w:rFonts w:ascii="Times New Roman" w:hAnsi="Times New Roman"/>
        </w:rPr>
        <w:t>feladaton 1.270.000,-Ft-tal nő a dologi kiadások előirányzata szociális tűzifa darabolására, szállítására. Fedezetet az ellátottak pénzbeli juttatása előirányzatból biztosítunk.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</w:t>
      </w:r>
      <w:r>
        <w:rPr>
          <w:rFonts w:ascii="Times New Roman" w:hAnsi="Times New Roman"/>
          <w:i/>
          <w:iCs/>
        </w:rPr>
        <w:t>sportlétesítmények, edzőtáborok működtetése és fejlesztése</w:t>
      </w:r>
      <w:r>
        <w:rPr>
          <w:rFonts w:ascii="Times New Roman" w:hAnsi="Times New Roman"/>
        </w:rPr>
        <w:t xml:space="preserve"> soron 7.386.000,-Ft-tal nő az előirányzat a Dömötör Zoltán Dunakeszi Sportuszoda szennyvízdíjának kifizetésére, illetve ÁFA befizetésre.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  <w:iCs/>
        </w:rPr>
        <w:t>Közművelődés – hagyományos közösségi kulturális értékek gondozása</w:t>
      </w:r>
      <w:r>
        <w:rPr>
          <w:rFonts w:ascii="Times New Roman" w:hAnsi="Times New Roman"/>
        </w:rPr>
        <w:t xml:space="preserve"> feladaton 1.367.000,-Ft-tal nő az előirányzat ÁFA befizetésre, valamint rendezvényekre ideiglenes internetszolgálatás kiépítésére.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Az </w:t>
      </w:r>
      <w:r>
        <w:rPr>
          <w:rFonts w:ascii="Times New Roman" w:hAnsi="Times New Roman"/>
          <w:i/>
          <w:iCs/>
        </w:rPr>
        <w:t xml:space="preserve">egyéb szociális pénzbeli és természetbeni ellátások, támogatások </w:t>
      </w:r>
      <w:r>
        <w:rPr>
          <w:rFonts w:ascii="Times New Roman" w:hAnsi="Times New Roman"/>
        </w:rPr>
        <w:t>feladaton belül 300.000,-Ft-ot csoportosítunk át a személyi juttatások előirányzatára reprezentációs juttatások fedezetére.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</w:t>
      </w:r>
      <w:r>
        <w:rPr>
          <w:rFonts w:ascii="Times New Roman" w:hAnsi="Times New Roman"/>
          <w:b/>
          <w:bCs/>
        </w:rPr>
        <w:t>Polgármesteri Hivatal</w:t>
      </w:r>
      <w:r>
        <w:rPr>
          <w:rFonts w:ascii="Times New Roman" w:hAnsi="Times New Roman"/>
        </w:rPr>
        <w:t xml:space="preserve"> dologi kiadása 4.980.000,-Ft-tal nő a választási feladatokkal összefüggésben.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</w:t>
      </w:r>
      <w:r>
        <w:rPr>
          <w:rFonts w:ascii="Times New Roman" w:hAnsi="Times New Roman"/>
          <w:b/>
          <w:bCs/>
        </w:rPr>
        <w:t>költségvetési intézmények</w:t>
      </w:r>
      <w:r>
        <w:rPr>
          <w:rFonts w:ascii="Times New Roman" w:hAnsi="Times New Roman"/>
        </w:rPr>
        <w:t xml:space="preserve"> dologi kiadásainak növekedését az előző évről áthúzódó kifizetések indokolják, fedezetet kötött maradványuk biztosít.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Az </w:t>
      </w:r>
      <w:r>
        <w:rPr>
          <w:rFonts w:ascii="Times New Roman" w:hAnsi="Times New Roman"/>
          <w:b/>
          <w:bCs/>
        </w:rPr>
        <w:t>ellátottak pénzbeli juttatásai</w:t>
      </w:r>
      <w:r>
        <w:rPr>
          <w:rFonts w:ascii="Times New Roman" w:hAnsi="Times New Roman"/>
        </w:rPr>
        <w:t xml:space="preserve"> előirányzat 907.990,-Ft-tal csökken, mely 362.010,-Ft növekedést és 1.270.000,-Ft csökkenést tartalmaz. A növekedést a Budapest Főváros XV. Kerület Önkormányzatától érkezett köztemetés költségének megtérítése tette lehetővé. A csökkenést az indokolja, hogy 1.270.000,-Ft-ot csoportosítottunk át a dologi kiadások közé szociális tűzifa darabolására, szállítására.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Az </w:t>
      </w:r>
      <w:r>
        <w:rPr>
          <w:rFonts w:ascii="Times New Roman" w:hAnsi="Times New Roman"/>
          <w:b/>
          <w:bCs/>
        </w:rPr>
        <w:t>egyéb elvonások befizetések</w:t>
      </w:r>
      <w:r>
        <w:rPr>
          <w:rFonts w:ascii="Times New Roman" w:hAnsi="Times New Roman"/>
        </w:rPr>
        <w:t xml:space="preserve"> előirányzata 1.310.306.715,-Ft-tal csökken, mely 1.395.483.611,-Ft csökkenést és 85.176.896,-Ft növekedést tartalmaz.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Az egyéb elvonások befizetések soron az eredeti költségvetésben a szolidaritási hozzájárulási adó 1.395.483.611,-Ft-os összegét terveztük. A fizetendő szolidaritási hozzájárulási adó összegét az </w:t>
      </w:r>
      <w:r>
        <w:rPr>
          <w:rFonts w:ascii="Times New Roman" w:hAnsi="Times New Roman"/>
          <w:b/>
          <w:bCs/>
        </w:rPr>
        <w:t>önkormányzatok törvényen alapuló befizetései</w:t>
      </w:r>
      <w:r>
        <w:rPr>
          <w:rFonts w:ascii="Times New Roman" w:hAnsi="Times New Roman"/>
        </w:rPr>
        <w:t xml:space="preserve"> soron kell szerepeltetni, ezért átcsoportosítottuk az előirányzatot erre a sorra.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2025. évi költségvetés végrehajtásáról szóló 7/2026. (V.15.) számú önkormányzati rendelet 3.§ (7) bekezdése alapján az intézmények előző évi szabad maradványa elvonásra került. Az intézmények a szabad maradványaik összegét befizették, ebből 85.176.896,-Ft növekedés jelenik meg az egyéb elvonások, befizetések soron.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</w:t>
      </w:r>
      <w:r>
        <w:rPr>
          <w:rFonts w:ascii="Times New Roman" w:hAnsi="Times New Roman"/>
          <w:b/>
          <w:bCs/>
        </w:rPr>
        <w:t>működési célú pénzeszközátadások, támogatások</w:t>
      </w:r>
      <w:r>
        <w:rPr>
          <w:rFonts w:ascii="Times New Roman" w:hAnsi="Times New Roman"/>
        </w:rPr>
        <w:t xml:space="preserve"> előirányzata 287.052.058,-Ft-tal csökken (289.796.303,-Ft csökkenés 2.744.245,-Ft növekedés).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csökkenést az alábbi tételek indokolják: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költségvetés tervezésekor az előző évben a HIPA többlet elvonás kompenzálására kapott  289.346.303,-Ft visszatérítendő rendkívüli támogatás visszafizetését a működési célú visszatérítendő támogatások, kölcsönök törlesztése államháztartáson belülre sorra terveztük. A Kincstár tájékoztatása alapján a visszafizetést a </w:t>
      </w:r>
      <w:r>
        <w:rPr>
          <w:rFonts w:ascii="Times New Roman" w:hAnsi="Times New Roman"/>
          <w:b/>
          <w:bCs/>
        </w:rPr>
        <w:t>helyi önkormányzatok előző évi elszámolásából származó kiadások</w:t>
      </w:r>
      <w:r>
        <w:rPr>
          <w:rFonts w:ascii="Times New Roman" w:hAnsi="Times New Roman"/>
        </w:rPr>
        <w:t xml:space="preserve"> között kell könyveli, ezért az előirányzat átcsoportosításra került a Kincstár által megadott sorra.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VSZC Lányi Ferenc Technikum és Szakképző Iskola Alapítványa részére az eredeti költségvetésben 1.250.000,-Ft támogatást terveztünk működési célra. Az alapítvány a támogatásból tárgyi eszközöket is szeretne vásárolni 450.000,-Ft értékben. A tárgyi eszköz vásárlásra átadott pénzeszközt a </w:t>
      </w:r>
      <w:r>
        <w:rPr>
          <w:rFonts w:ascii="Times New Roman" w:hAnsi="Times New Roman"/>
          <w:b/>
          <w:bCs/>
        </w:rPr>
        <w:t>felhalmozási célú támogatások</w:t>
      </w:r>
      <w:r>
        <w:rPr>
          <w:rFonts w:ascii="Times New Roman" w:hAnsi="Times New Roman"/>
        </w:rPr>
        <w:t xml:space="preserve"> között kell szerepeltetni, ezért az előirányzatot átcsoportosítottuk a felhalmozási célú támogatások közé.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növekedés tételi az alábbiak: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Keszi Klub 2.545.000,-Ft-os támogatási kérelmet nyújtott be - II. Amatőr foci kupa, Summer Opening, Moziest, Strandröplabda bajnokság, Latin Gastro, Quiz est - programok, rendezvények megtartására. Az előirányzat növelésével ehhez a támogatáshoz biztosítjuk a fedezetet tartalékból.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KBFT-E-22-2177 kulturális ágazat bérfejlesztés támogatása pályázathoz kapcsolódó kiadásra 185.182,-Ft-tal növeljük az előirányzatot maradvány terhére.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Az ingatlanért életjáradék program keretében megkötött szerződések tartalmazzák, hogy az életjáradék összege minden naptári év május 1. napjától megemelésre kerül a KSH által közzétett  az előző évre </w:t>
      </w:r>
      <w:r>
        <w:rPr>
          <w:rFonts w:ascii="Times New Roman" w:hAnsi="Times New Roman"/>
        </w:rPr>
        <w:lastRenderedPageBreak/>
        <w:t>vonatkozó fogyasztói árindex mértékével. A költségvetés tervezésekor a fogyasztói árindex mértéke még nem állt rendelkezésre, ezért becsült összeggel számoltunk. A pontos adat rendelkezésre állásakor az életjáradékok összege átszámolásra került. Az emelkedett életjáradék összegek fedezetére még 14.063,-Ft-tal kell növelni az előirányzatot maradvány terhére.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Az </w:t>
      </w:r>
      <w:r>
        <w:rPr>
          <w:rFonts w:ascii="Times New Roman" w:hAnsi="Times New Roman"/>
          <w:b/>
          <w:bCs/>
        </w:rPr>
        <w:t>egyéb felhalmozási célú támogatások</w:t>
      </w:r>
      <w:r>
        <w:rPr>
          <w:rFonts w:ascii="Times New Roman" w:hAnsi="Times New Roman"/>
        </w:rPr>
        <w:t xml:space="preserve"> előirányzata 3.020.688,-Ft-tal nő. A Fóti u. 77.  Társasház (7351/64/A/1 hrsz-ú orvosi rendelő)  ingatlan felújítási munkálatok tulajdoni hányadra jutó befizetésére 1.070.688,-Ft növekedés jelenik meg tartalékból.  Az VSZC Lányi Ferenc Technikum és Szakképző Iskola Alapítvány tárgyi eszköz beszerzésére 450.000,-Ft-ot csoportosítunk át a működési célú támogatások előirányzatából. A Dunakeszi Gyártelep Plébánia támogatása 1.500.000,-Ft-tal nő lakrész fűtésének felújítására, festési, felújítási munkákra. Fedezetet tartalékból biztosítunk.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</w:t>
      </w:r>
      <w:r>
        <w:rPr>
          <w:rFonts w:ascii="Times New Roman" w:hAnsi="Times New Roman"/>
          <w:b/>
          <w:bCs/>
        </w:rPr>
        <w:t>beruházási kiadások</w:t>
      </w:r>
      <w:r>
        <w:rPr>
          <w:rFonts w:ascii="Times New Roman" w:hAnsi="Times New Roman"/>
        </w:rPr>
        <w:t xml:space="preserve"> 28.974.313,-Ft-tal nőnek.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Önkormányzat beruházási előirányzat változása 37.374.313,-Ft növekedést és 8.400.000,-Ft csökkenést tartalmaz.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növekedést az alábbi tételek indokolják: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képviselő-testület 58/2026.(III.19.) sz. határozatában döntött arról, hogy a Dunakeszi Városi Sport Kft. törzstőkéjét 3.000.000,-Ft-tal megemeli és további 23.000.000,-Ft összeget utal a Társaság bankszámlájára tőketartalékként. A döntés értelmében az előirányzatot 26.000.000,-Ft-tal növeljük, fedezetet tartalék terhére biztosítunk. A járdaépítések előirányzata 1.669.002,-Ft-tal nő maradvány terhére, ebből 822.071,-Ft a Szent István park játszótér térköves járdaszakasz építésére, 846.931,-Ft a Kiscsurgó utca járdaépítés és poller kihelyezés feladatra nyújt fedezetet. A Balassi Bálint utca parkolóépítésre 4.390.422,-Ft növekedés jelenik meg, fedezetet maradvány biztosít. A MOL-Új Európa Alapítvány Zöld Oázis 2026 pályázatán 2.000.000,-Ft-ot nyertünk el a Szent István park zöldfelület fejlesztésére. A Dunakeszi asztali-terem felújítás Vasút u. 11. projekthez kapcsolódó beruházási kiadásokra 3.314.889,-Ft-tal növelhető az előirányzat. Fedezetet a felújításokból történő átcsoportosítással, illetve tartalékból biztosítunk.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csökkenéseket az indokolja, hogy az eredeti költségvetésben a beruházási kiadások között tervezett feladatok az időközben érkezett információk alapján a számviteli szabályok szerint felújítási kiadásnak minősülnek, ezért a fedezetet átcsoportosítjuk a felújítási kiadások közé (Kiserdő utca járda felújítás - Diófa utca és Katonadomb utca között 7.400.000,-Ft, illetve Iskola utca parkoló felújítás 1.000.000,-Ft).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</w:t>
      </w:r>
      <w:r>
        <w:rPr>
          <w:rFonts w:ascii="Times New Roman" w:hAnsi="Times New Roman"/>
          <w:b/>
          <w:bCs/>
        </w:rPr>
        <w:t>felújítási kiadásokra</w:t>
      </w:r>
      <w:r>
        <w:rPr>
          <w:rFonts w:ascii="Times New Roman" w:hAnsi="Times New Roman"/>
        </w:rPr>
        <w:t xml:space="preserve"> tervezett összeg 59.043.389,-Ft-tal nő (61.828.688,-Ft növekedés, 2.785.299,-Ft csökkenés).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növekedés tételei: Kiserdő utca járda felújítás - Diófa utca és Katonadomb utca között 7.400.000,-Ft, átcsoportosítás beruházásból, Iskola utca parkoló felújítás 32.160.688,-Ft (1.000.000,-Ft átcsoportosítás beruházásból, 31.160.688,-Ft maradvány terhére), Járdaszakaszok felújítása Fő út 26-52 között 22.268.000,-Ft (tartalék terhére).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csökkenést az indokolja, hogy a Dunakeszi asztali-terem felújítás Vasút u. 11. projekt tartalmaz beruházást, felújítást és dologi kiadást is. A beruházási kiadások részbeni  fedezetét a felújításra tervezett összegből csoportosítjuk át 2.785.299,-Ft összegben.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</w:t>
      </w:r>
      <w:r>
        <w:rPr>
          <w:rFonts w:ascii="Times New Roman" w:hAnsi="Times New Roman"/>
          <w:b/>
          <w:bCs/>
        </w:rPr>
        <w:t>finanszírozási kiadások</w:t>
      </w:r>
      <w:r>
        <w:rPr>
          <w:rFonts w:ascii="Times New Roman" w:hAnsi="Times New Roman"/>
        </w:rPr>
        <w:t xml:space="preserve"> 800.241.300,-Ft-tal nőnek. A kedvezőbb kamatkörnyezetet figyelembe véve Önkormányzati Magyar Államkötvény vásárlásra 800.000.000,-Ft-tal növelhető az előirányzat tartalék terhére. Államháztartáson belüli megelőlegezés visszafizetésére 241.300,-Ft növekedés jelenik meg.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  <w:b/>
          <w:bCs/>
        </w:rPr>
      </w:pP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TARTALÉKOK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Működési tartalékok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</w:t>
      </w:r>
      <w:r>
        <w:rPr>
          <w:rFonts w:ascii="Times New Roman" w:hAnsi="Times New Roman"/>
          <w:b/>
          <w:bCs/>
        </w:rPr>
        <w:t xml:space="preserve"> általános tartalék </w:t>
      </w:r>
      <w:r>
        <w:rPr>
          <w:rFonts w:ascii="Times New Roman" w:hAnsi="Times New Roman"/>
        </w:rPr>
        <w:t>állománya 197.455.000,-Ft-tal nő (200.000.000,-Ft növekedés, 2.545.000,-Ft csökkenés). A növekedést szabad maradvány tette lehetővé. A csökkenést a Keszi Klub támogatása indokolja.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</w:t>
      </w:r>
      <w:r>
        <w:rPr>
          <w:rFonts w:ascii="Times New Roman" w:hAnsi="Times New Roman"/>
          <w:b/>
          <w:bCs/>
        </w:rPr>
        <w:t>működési céltartalék</w:t>
      </w:r>
      <w:r>
        <w:rPr>
          <w:rFonts w:ascii="Times New Roman" w:hAnsi="Times New Roman"/>
        </w:rPr>
        <w:t xml:space="preserve"> 275.474.829,-Ft-tal nő, mely 314.574.828,-Ft növekedést és 39.099.999,-Ft csökkenést tartalmaz.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növekedésből 40.518.866,-Ft-ot az előző évi maradvány összege fedez. A fennmaradó növekedést az eredeti költségvetésben nem tervezett beérkező bevételek tették lehetővé. A szociális ágazati pótlék,  a kiegészítő szociális pótlék, a tanárbér emelés valamint a kulturális dolgozók bérének kifizetését az eredeti költségvetésében biztosítottuk, így a központi költségvetésből erre a célra érkezett támogatást tartalékba helyezhetjük (2025. évi tanárbér kiegészítése 17.065.020,-Ft, szociális ágazati pótlék 18.635.787,-Ft, kiegészítő szociális pótlék 5.699.185,-Ft, a kulturális dolgozók bértámogatása 33.773.970,-Ft).  A hivatal működésére kapott támogatásból 198.882.000,-Ft növekedés jelenik meg.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tartalékok állományát csökkentik azok a kifizetések, melyeket az eredeti költségvetésben nem terveztünk, vagy mértékük meghaladja a tervezett összeget. Tartalékokból biztosítottunk fedezetet a Senior Szűrőnap költségeire 5.100.000,-Ft összegben.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Az eredeti költségvetés tervezésekor tartalékba helyeztük a pályázati úton megkapott, de az előző évben fel nem használt összegeket is abban az esetben, ha a kiemelt előirányzatok szerinti felhasználásuk nem volt pontosan meghatározható. A Versenyképes Járások Program keretében 33.999.999,-Ft-ot helyeztünk tartalékba. Az eltelt idő alatt megkapott információk alapján a DÓHSZK 21.000.000,-Ft, a Dunakeszi Szakrendelő 12.999.999,-Ft támogatásban részesül intézményfinanszírozás formájában. Az intézmények költségvetésébe az összegek átvezetésre kerültek.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Felhalmozási céltartalék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felhalmozási tartalék állomány 633.241.202,-Ft-tal nő. Az előirányzat változás 1.484.609.480,-Ft növekedést és 851.368.278,-Ft csökkenést tartalmaz.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növekedésből 1.051.800.748,-Ft-ot előző évi maradvány, 202.140.162,-Ft-ot HIPA többlet elvonás visszatérítése, 230.668.570,-Ft-ot az eredeti költségvetésben tervezett pályázati projektekre kapott támogatások tették lehetővé.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csökkenés tételei az alábbiak:</w:t>
      </w:r>
    </w:p>
    <w:p w:rsidR="00FE2C4C" w:rsidRDefault="00FE2C4C" w:rsidP="00FE2C4C">
      <w:pPr>
        <w:pStyle w:val="Szvegtrzs"/>
        <w:spacing w:after="16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Fóti u. 77.  Társasház (7351/64/A/1 hrsz-ú orvosi rendelő)  ingatlan felújítási munkálatok tulajdoni hányadra jutó befizetésére 1.070.688,-Ft, a Dunakeszi Városi Sport Kft. tőkeemelése és tőketartalék emelése 26.000.000,-Ft, a Dunakeszi Gyártelep Plébánia támogatása lakrész fűtésének felújítására, festési, felújítási munkákra 1.500.000,-Ft, Járdaszakaszok felújítása Fő út 26-52 között 22.268.000,-Ft, Dunakeszi asztali-terem felújítás Vasút u. 11. projekt 529.590,-Ft, Önkormányzati Magyar Államkötvény vásárlása 800.000.000,-Ft.</w:t>
      </w:r>
    </w:p>
    <w:p w:rsidR="006D3EA5" w:rsidRDefault="00FE2C4C">
      <w:bookmarkStart w:id="0" w:name="_GoBack"/>
      <w:bookmarkEnd w:id="0"/>
    </w:p>
    <w:sectPr w:rsidR="006D3E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668"/>
      <w:pgMar w:top="899" w:right="1077" w:bottom="1525" w:left="1077" w:header="340" w:footer="794" w:gutter="0"/>
      <w:cols w:space="708"/>
      <w:formProt w:val="0"/>
      <w:titlePg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61B" w:rsidRDefault="00FE2C4C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61B" w:rsidRDefault="00FE2C4C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61B" w:rsidRDefault="00FE2C4C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61B" w:rsidRDefault="00FE2C4C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8</w:t>
    </w:r>
    <w: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61B" w:rsidRDefault="00FE2C4C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8</w:t>
    </w:r>
    <w: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61B" w:rsidRDefault="00FE2C4C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61B" w:rsidRDefault="00FE2C4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61B" w:rsidRDefault="00FE2C4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6917" w:type="dxa"/>
      <w:jc w:val="right"/>
      <w:tblLayout w:type="fixed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5883"/>
      <w:gridCol w:w="1034"/>
    </w:tblGrid>
    <w:tr w:rsidR="0022261B">
      <w:trPr>
        <w:cantSplit/>
        <w:jc w:val="right"/>
      </w:trPr>
      <w:tc>
        <w:tcPr>
          <w:tcW w:w="5883" w:type="dxa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</w:tcPr>
        <w:p w:rsidR="0022261B" w:rsidRDefault="00FE2C4C">
          <w:pPr>
            <w:pStyle w:val="TableContents"/>
            <w:pageBreakBefore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Az iromány az Integrált Jogalkotási Rendszerben készült.</w:t>
          </w:r>
        </w:p>
        <w:p w:rsidR="0022261B" w:rsidRDefault="00FE2C4C">
          <w:pPr>
            <w:pStyle w:val="TableContents"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IJR azonosító: LL-121914666-1</w:t>
          </w:r>
        </w:p>
        <w:p w:rsidR="0022261B" w:rsidRDefault="00FE2C4C">
          <w:pPr>
            <w:pStyle w:val="TableContents"/>
            <w:rPr>
              <w:rFonts w:ascii="Times New Roman" w:hAnsi="Times New Roman"/>
              <w:color w:val="808080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Készült: 2026.06.08. 14:48</w:t>
          </w:r>
        </w:p>
        <w:p w:rsidR="0022261B" w:rsidRDefault="00FE2C4C">
          <w:pPr>
            <w:pStyle w:val="TableContents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color w:val="808080"/>
              <w:sz w:val="20"/>
              <w:szCs w:val="20"/>
            </w:rPr>
            <w:t>Nyomtatta:</w:t>
          </w:r>
          <w:r>
            <w:rPr>
              <w:rFonts w:ascii="Times New Roman" w:hAnsi="Times New Roman"/>
              <w:sz w:val="20"/>
              <w:szCs w:val="20"/>
            </w:rPr>
            <w:t xml:space="preserve"> </w:t>
          </w:r>
          <w:r>
            <w:rPr>
              <w:rFonts w:ascii="Times New Roman" w:hAnsi="Times New Roman"/>
              <w:noProof/>
              <w:color w:val="808080"/>
              <w:sz w:val="20"/>
              <w:szCs w:val="20"/>
              <w:lang w:eastAsia="hu-HU" w:bidi="ar-SA"/>
            </w:rPr>
            <w:drawing>
              <wp:anchor distT="0" distB="0" distL="0" distR="0" simplePos="0" relativeHeight="251659264" behindDoc="0" locked="0" layoutInCell="0" allowOverlap="1" wp14:anchorId="5B22B4BF" wp14:editId="5D7CFA5F">
                <wp:simplePos x="0" y="0"/>
                <wp:positionH relativeFrom="column">
                  <wp:posOffset>3742690</wp:posOffset>
                </wp:positionH>
                <wp:positionV relativeFrom="paragraph">
                  <wp:posOffset>-443865</wp:posOffset>
                </wp:positionV>
                <wp:extent cx="603885" cy="598170"/>
                <wp:effectExtent l="0" t="0" r="0" b="0"/>
                <wp:wrapNone/>
                <wp:docPr id="2" name="QR-kó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QR-kó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3885" cy="5981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rFonts w:ascii="Times New Roman" w:hAnsi="Times New Roman"/>
              <w:color w:val="808080"/>
              <w:sz w:val="20"/>
              <w:szCs w:val="20"/>
            </w:rPr>
            <w:t>Pálinkás Józsefné</w:t>
          </w:r>
        </w:p>
      </w:tc>
      <w:tc>
        <w:tcPr>
          <w:tcW w:w="103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</w:tcPr>
        <w:p w:rsidR="0022261B" w:rsidRDefault="00FE2C4C">
          <w:pPr>
            <w:pStyle w:val="TableContents"/>
          </w:pPr>
        </w:p>
      </w:tc>
    </w:tr>
  </w:tbl>
  <w:p w:rsidR="0022261B" w:rsidRDefault="00FE2C4C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61B" w:rsidRDefault="00FE2C4C">
    <w:pPr>
      <w:pStyle w:val="lfej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61B" w:rsidRDefault="00FE2C4C">
    <w:pPr>
      <w:pStyle w:val="lfej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61B" w:rsidRDefault="00FE2C4C">
    <w:pPr>
      <w:pStyle w:val="Header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C4C"/>
    <w:rsid w:val="00046F8B"/>
    <w:rsid w:val="00BE6DBD"/>
    <w:rsid w:val="00FE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BB90CA-855D-46E6-8D71-5E92A00A6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E2C4C"/>
    <w:pPr>
      <w:suppressAutoHyphens/>
      <w:spacing w:after="0" w:line="240" w:lineRule="auto"/>
    </w:pPr>
    <w:rPr>
      <w:rFonts w:ascii="Liberation Serif" w:eastAsia="Noto Serif CJK SC" w:hAnsi="Liberation Serif" w:cs="Lohit Devanagari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FE2C4C"/>
    <w:pPr>
      <w:spacing w:after="140" w:line="276" w:lineRule="auto"/>
    </w:pPr>
  </w:style>
  <w:style w:type="character" w:customStyle="1" w:styleId="SzvegtrzsChar">
    <w:name w:val="Szövegtörzs Char"/>
    <w:basedOn w:val="Bekezdsalapbettpusa"/>
    <w:link w:val="Szvegtrzs"/>
    <w:rsid w:val="00FE2C4C"/>
    <w:rPr>
      <w:rFonts w:ascii="Liberation Serif" w:eastAsia="Noto Serif CJK SC" w:hAnsi="Liberation Serif" w:cs="Lohit Devanagari"/>
      <w:kern w:val="2"/>
      <w:sz w:val="24"/>
      <w:szCs w:val="24"/>
      <w:lang w:eastAsia="zh-CN" w:bidi="hi-IN"/>
    </w:rPr>
  </w:style>
  <w:style w:type="paragraph" w:styleId="lfej">
    <w:name w:val="header"/>
    <w:basedOn w:val="Norml"/>
    <w:link w:val="lfejChar"/>
    <w:rsid w:val="00FE2C4C"/>
    <w:pPr>
      <w:suppressLineNumbers/>
      <w:tabs>
        <w:tab w:val="center" w:pos="4819"/>
        <w:tab w:val="right" w:pos="9638"/>
      </w:tabs>
    </w:pPr>
  </w:style>
  <w:style w:type="character" w:customStyle="1" w:styleId="lfejChar">
    <w:name w:val="Élőfej Char"/>
    <w:basedOn w:val="Bekezdsalapbettpusa"/>
    <w:link w:val="lfej"/>
    <w:rsid w:val="00FE2C4C"/>
    <w:rPr>
      <w:rFonts w:ascii="Liberation Serif" w:eastAsia="Noto Serif CJK SC" w:hAnsi="Liberation Serif" w:cs="Lohit Devanagari"/>
      <w:kern w:val="2"/>
      <w:sz w:val="24"/>
      <w:szCs w:val="24"/>
      <w:lang w:eastAsia="zh-CN" w:bidi="hi-IN"/>
    </w:rPr>
  </w:style>
  <w:style w:type="paragraph" w:customStyle="1" w:styleId="TableContents">
    <w:name w:val="Table Contents"/>
    <w:basedOn w:val="Norml"/>
    <w:qFormat/>
    <w:rsid w:val="00FE2C4C"/>
    <w:pPr>
      <w:suppressLineNumbers/>
    </w:pPr>
  </w:style>
  <w:style w:type="paragraph" w:styleId="llb">
    <w:name w:val="footer"/>
    <w:basedOn w:val="Norml"/>
    <w:link w:val="llbChar"/>
    <w:rsid w:val="00FE2C4C"/>
    <w:pPr>
      <w:suppressLineNumbers/>
      <w:tabs>
        <w:tab w:val="center" w:pos="4819"/>
        <w:tab w:val="right" w:pos="9638"/>
      </w:tabs>
    </w:pPr>
  </w:style>
  <w:style w:type="character" w:customStyle="1" w:styleId="llbChar">
    <w:name w:val="Élőláb Char"/>
    <w:basedOn w:val="Bekezdsalapbettpusa"/>
    <w:link w:val="llb"/>
    <w:rsid w:val="00FE2C4C"/>
    <w:rPr>
      <w:rFonts w:ascii="Liberation Serif" w:eastAsia="Noto Serif CJK SC" w:hAnsi="Liberation Serif" w:cs="Lohit Devanagari"/>
      <w:kern w:val="2"/>
      <w:sz w:val="24"/>
      <w:szCs w:val="24"/>
      <w:lang w:eastAsia="zh-CN" w:bidi="hi-IN"/>
    </w:rPr>
  </w:style>
  <w:style w:type="paragraph" w:customStyle="1" w:styleId="HeaderLeft">
    <w:name w:val="Header Left"/>
    <w:basedOn w:val="lfej"/>
    <w:qFormat/>
    <w:rsid w:val="00FE2C4C"/>
    <w:pPr>
      <w:tabs>
        <w:tab w:val="clear" w:pos="4819"/>
        <w:tab w:val="clear" w:pos="9638"/>
        <w:tab w:val="center" w:pos="4876"/>
        <w:tab w:val="right" w:pos="975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6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header" Target="header6.xml"/><Relationship Id="rId10" Type="http://schemas.openxmlformats.org/officeDocument/2006/relationships/footer" Target="footer3.xml"/><Relationship Id="rId4" Type="http://schemas.openxmlformats.org/officeDocument/2006/relationships/image" Target="media/image1.png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2989</Words>
  <Characters>20628</Characters>
  <Application>Microsoft Office Word</Application>
  <DocSecurity>0</DocSecurity>
  <Lines>171</Lines>
  <Paragraphs>47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2026-06-10T11:10:00Z</dcterms:created>
  <dcterms:modified xsi:type="dcterms:W3CDTF">2026-06-10T11:10:00Z</dcterms:modified>
</cp:coreProperties>
</file>